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Rules for Resolutions and Lobbying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It is strongly recommended that resolutions are pre-uploaded to the online Approvals Panel in advance of the conference.</w:t>
      </w: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 There are three key benefits of uploading resolutions before the conference: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You will not have to deal with any unnecessary waiting times during the conference.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As resolutions are approved before the conference, you will have the opportunity to correct your resolution if it is rejected.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Your resolution will have a significantly higher chance of being selected for committee.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The top of each resolution must detail the resolution’s committee, question and main submitter(s).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Resolutions must be addressed to the General Assembly (except resolutions in the Security Council which must be addressed to the Security Council).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All operative clauses must be numbered, all sub-clauses must begin with a), b), c), etc, and all sub-sub clauses must begin with i), ii), iii) etc.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Each preambulatory clause must be followed by a comma, and each operative clause must be followed by a semicolon (except the last operative clause which must be followed by a full stop – no full stop should appear elsewhere in the resolution).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There is a clause limit of 15 operative clauses per resolution (20 for the Security Council), including sub-clauses. Please note that, when counting sub-clauses, the clause which they are subsidiary to should not be counted. For example, the following operative clause contains three (not four) clauses for counting purposes:</w:t>
      </w:r>
    </w:p>
    <w:p w:rsidR="00000000" w:rsidDel="00000000" w:rsidP="00000000" w:rsidRDefault="00000000" w:rsidRPr="00000000" w14:paraId="0000000C">
      <w:pPr>
        <w:spacing w:after="160" w:line="360" w:lineRule="auto"/>
        <w:ind w:left="720" w:firstLine="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Proposes that 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a UNBWS</w:t>
      </w: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 (United Nations Body for Water Sanitation), a subbody of the UNDP (United Nations Development Programme) with additional funding from the UN, be created in order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Determine the most efficient method of medical prevention of waterborne diseases, whether by water-treatment or the provision of new water sources,</w:t>
      </w:r>
    </w:p>
    <w:p w:rsidR="00000000" w:rsidDel="00000000" w:rsidP="00000000" w:rsidRDefault="00000000" w:rsidRPr="00000000" w14:paraId="0000000E">
      <w:pPr>
        <w:spacing w:after="160" w:line="360" w:lineRule="auto"/>
        <w:ind w:left="1440" w:firstLine="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60" w:lineRule="auto"/>
        <w:ind w:left="1440" w:firstLine="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ind w:left="1440" w:firstLine="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Research into cheaper technology for desalination, sand filtration, well recharging, and other water purification strategies as a short term goal,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60" w:line="360" w:lineRule="auto"/>
        <w:ind w:left="1440" w:hanging="360"/>
        <w:rPr>
          <w:rFonts w:ascii="Helvetica Neue Light" w:cs="Helvetica Neue Light" w:eastAsia="Helvetica Neue Light" w:hAnsi="Helvetica Neue Light"/>
          <w:i w:val="1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i w:val="1"/>
          <w:sz w:val="24"/>
          <w:szCs w:val="24"/>
          <w:rtl w:val="0"/>
        </w:rPr>
        <w:t xml:space="preserve">Establish and assist educational programmes on the recognition of and the dangers of consuming unclean water;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When lobbying resolutions, the number of delegate signatures required for the debate of the resolution will be set by the committee chair, with a maximum of two from any school (maximum of one from the delegate’s own school) in order for the resolution to be considered for approval and debate.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No resolutions may be signed at any time other than during designated lobbying sessions.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If delegates sign a resolution, they must be willing to make a speech in time for the resolution.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360" w:lineRule="auto"/>
        <w:ind w:left="720" w:hanging="360"/>
        <w:rPr>
          <w:rFonts w:ascii="Helvetica Neue Light" w:cs="Helvetica Neue Light" w:eastAsia="Helvetica Neue Light" w:hAnsi="Helvetica Neue Light"/>
          <w:sz w:val="24"/>
          <w:szCs w:val="2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sz w:val="24"/>
          <w:szCs w:val="24"/>
          <w:rtl w:val="0"/>
        </w:rPr>
        <w:t xml:space="preserve">Decisions regarding the approval status of a resolution lie ultimately with the Approvals Panel.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360" w:lineRule="auto"/>
        <w:jc w:val="left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elvetica Neue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-471487</wp:posOffset>
              </wp:positionH>
              <wp:positionV relativeFrom="paragraph">
                <wp:posOffset>0</wp:posOffset>
              </wp:positionV>
              <wp:extent cx="7605713" cy="742950"/>
              <wp:effectExtent b="0" l="0" r="0" t="0"/>
              <wp:wrapNone/>
              <wp:docPr id="2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2425" y="3407775"/>
                        <a:ext cx="7605713" cy="742950"/>
                        <a:chOff x="1562425" y="3407775"/>
                        <a:chExt cx="7567150" cy="744450"/>
                      </a:xfrm>
                    </wpg:grpSpPr>
                    <wpg:grpSp>
                      <wpg:cNvGrpSpPr/>
                      <wpg:grpSpPr>
                        <a:xfrm>
                          <a:off x="1562442" y="3407793"/>
                          <a:ext cx="7567117" cy="744415"/>
                          <a:chOff x="1562425" y="3407725"/>
                          <a:chExt cx="7567150" cy="744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62425" y="3407725"/>
                            <a:ext cx="7567150" cy="7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2442" y="3407793"/>
                            <a:ext cx="7567117" cy="744415"/>
                            <a:chOff x="1557675" y="3403025"/>
                            <a:chExt cx="7576650" cy="7539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57675" y="3403025"/>
                              <a:ext cx="7576650" cy="75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2442" y="3407793"/>
                              <a:ext cx="7567117" cy="744415"/>
                              <a:chOff x="0" y="0"/>
                              <a:chExt cx="6858000" cy="676656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858000" cy="676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6858000" cy="676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855"/>
                              </a:solidFill>
                              <a:ln cap="flat" cmpd="sng" w="9525">
                                <a:solidFill>
                                  <a:srgbClr val="00285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119120" y="103263"/>
                                <a:ext cx="619760" cy="470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3937001" y="313231"/>
                                <a:ext cx="2726968" cy="54000"/>
                                <a:chOff x="3937001" y="313231"/>
                                <a:chExt cx="2726968" cy="54000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3937001" y="338326"/>
                                  <a:ext cx="26710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6609969" y="313231"/>
                                  <a:ext cx="54000" cy="54000"/>
                                </a:xfrm>
                                <a:prstGeom prst="donut">
                                  <a:avLst>
                                    <a:gd fmla="val 0" name="adj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 cap="flat" cmpd="sng" w="9525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194031" y="313231"/>
                                <a:ext cx="2726968" cy="54000"/>
                                <a:chOff x="194031" y="313231"/>
                                <a:chExt cx="2726968" cy="54000"/>
                              </a:xfrm>
                            </wpg:grpSpPr>
                            <wps:wsp>
                              <wps:cNvCnPr/>
                              <wps:spPr>
                                <a:xfrm rot="10800000">
                                  <a:off x="194031" y="338326"/>
                                  <a:ext cx="26710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2866999" y="313231"/>
                                  <a:ext cx="54000" cy="54000"/>
                                </a:xfrm>
                                <a:prstGeom prst="donut">
                                  <a:avLst>
                                    <a:gd fmla="val 0" name="adj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 cap="flat" cmpd="sng" w="9525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-471487</wp:posOffset>
              </wp:positionH>
              <wp:positionV relativeFrom="paragraph">
                <wp:posOffset>0</wp:posOffset>
              </wp:positionV>
              <wp:extent cx="7605713" cy="742950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713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4711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4711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4711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4711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4711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4711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4711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4711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4711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4711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4711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4711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4711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4711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4711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4711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4711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4711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4711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711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4711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711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4711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4711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4711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4711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4711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711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47114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84711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7114"/>
  </w:style>
  <w:style w:type="paragraph" w:styleId="Footer">
    <w:name w:val="footer"/>
    <w:basedOn w:val="Normal"/>
    <w:link w:val="FooterChar"/>
    <w:uiPriority w:val="99"/>
    <w:unhideWhenUsed w:val="1"/>
    <w:rsid w:val="0084711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7114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10" Type="http://schemas.openxmlformats.org/officeDocument/2006/relationships/font" Target="fonts/HelveticaNeueLight-boldItalic.ttf"/><Relationship Id="rId9" Type="http://schemas.openxmlformats.org/officeDocument/2006/relationships/font" Target="fonts/HelveticaNeueLight-italic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HelveticaNeueLight-regular.ttf"/><Relationship Id="rId8" Type="http://schemas.openxmlformats.org/officeDocument/2006/relationships/font" Target="fonts/HelveticaNeue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cAbnxwfihVHUDJ5uII1wlY3Jw==">CgMxLjA4AHIhMTc4aE94OTh6ZFdHenZTSGFYV3RtMU8tZWFVcXp6Yk5x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BF2FB3CD287409A0DE3DAE7786C18" ma:contentTypeVersion="11" ma:contentTypeDescription="Create a new document." ma:contentTypeScope="" ma:versionID="e4b48e8417b1f3c0f1ccfc2813467d92">
  <xsd:schema xmlns:xsd="http://www.w3.org/2001/XMLSchema" xmlns:xs="http://www.w3.org/2001/XMLSchema" xmlns:p="http://schemas.microsoft.com/office/2006/metadata/properties" xmlns:ns2="30462e55-42f0-4f1f-8f9e-d63fd232d55b" targetNamespace="http://schemas.microsoft.com/office/2006/metadata/properties" ma:root="true" ma:fieldsID="1ee8c16f686a9f433ce5319b6d3420eb" ns2:_="">
    <xsd:import namespace="30462e55-42f0-4f1f-8f9e-d63fd232d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2e55-42f0-4f1f-8f9e-d63fd232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01a6f2-9df7-4a7b-822f-1f546a99e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62e55-42f0-4f1f-8f9e-d63fd232d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EE662B9-6752-4FEC-AFF6-D523A1A57A3D}"/>
</file>

<file path=customXML/itemProps3.xml><?xml version="1.0" encoding="utf-8"?>
<ds:datastoreItem xmlns:ds="http://schemas.openxmlformats.org/officeDocument/2006/customXml" ds:itemID="{861AE3E5-CD51-4684-9600-9D9180343213}"/>
</file>

<file path=customXML/itemProps4.xml><?xml version="1.0" encoding="utf-8"?>
<ds:datastoreItem xmlns:ds="http://schemas.openxmlformats.org/officeDocument/2006/customXml" ds:itemID="{8266F4DF-FE0F-454E-8E63-7CEEE883F09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Devarshi Mandal (dmandal205041 - SFJ3)</dc:creator>
  <dcterms:created xsi:type="dcterms:W3CDTF">2024-10-26T20:56:00Z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0x010100A34BF2FB3CD287409A0DE3DAE7786C18</vt:lpwstr>
  </property>
</Properties>
</file>